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5F023">
      <w:pPr>
        <w:spacing w:line="540" w:lineRule="exact"/>
        <w:jc w:val="left"/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  <w:t>附件1</w:t>
      </w:r>
      <w:r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  <w:t xml:space="preserve">:      </w:t>
      </w:r>
    </w:p>
    <w:p w14:paraId="3251A50B">
      <w:pPr>
        <w:spacing w:line="540" w:lineRule="exact"/>
        <w:jc w:val="center"/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  <w:lang w:eastAsia="zh-CN"/>
        </w:rPr>
        <w:t>202</w:t>
      </w: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  <w:t>年中马协骑手分级（线下）</w:t>
      </w:r>
    </w:p>
    <w:p w14:paraId="6DE79E87">
      <w:pPr>
        <w:spacing w:line="540" w:lineRule="exact"/>
        <w:jc w:val="center"/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  <w:t>承考单位申请材料的补充说明</w:t>
      </w:r>
    </w:p>
    <w:p w14:paraId="2A2E9A22"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一、申请表：申请单位需如实填写承考单位申请表（见附件</w:t>
      </w:r>
      <w:r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  <w:t>2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）。</w:t>
      </w:r>
    </w:p>
    <w:p w14:paraId="2A675846"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二、中马协骑手分级（线下）承考单位硬件设施检查表（评选硬性条件）：按照中马协骑手分级（线下）承考硬件检查表（见附件</w:t>
      </w:r>
      <w:r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  <w:t>3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）进行自检，填写检查表格，盖单位公章，一并提交。</w:t>
      </w:r>
    </w:p>
    <w:p w14:paraId="30DB3C4A"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三、人员与马匹接待能力说明与证明材料：</w:t>
      </w:r>
    </w:p>
    <w:p w14:paraId="3DF8C3F0"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（一）申请单位所在区域应具备能够接待不少于80人的餐饮住宿条件；</w:t>
      </w:r>
    </w:p>
    <w:p w14:paraId="2AC75FDC"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（二）申请单位本身应该能提供不少于</w:t>
      </w:r>
      <w:r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  <w:t>15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匹性情稳定的马匹用于考核租赁，同时应该能够为外来马匹提供不少于</w:t>
      </w:r>
      <w:r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  <w:t>35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间固定马厩或临时马厩；</w:t>
      </w:r>
    </w:p>
    <w:p w14:paraId="645C21DC"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（三）申请单位需提供考核期间考核场所及马房卫生方案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  <w:lang w:eastAsia="zh-CN"/>
        </w:rPr>
        <w:t>；</w:t>
      </w:r>
    </w:p>
    <w:p w14:paraId="3768CC1B"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四、以往赛事或活动举办经验说明与证明材料：申请单位应提供以往赛事或活动举办经验说明与相关证明材料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  <w:lang w:eastAsia="zh-CN"/>
        </w:rPr>
        <w:t>；</w:t>
      </w:r>
    </w:p>
    <w:p w14:paraId="2CE9C7C5"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五、交通和地理位置等其他承考优势方面说明：申请单位应提供单位所在地的交通、气候、地理位置等可以体现该单位具备承考优势的要素说明，阐述承考优势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  <w:lang w:eastAsia="zh-CN"/>
        </w:rPr>
        <w:t>；</w:t>
      </w:r>
    </w:p>
    <w:p w14:paraId="4565B137"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六、营业执照（三证合一）： 有效的工商营业执照、组织机构代码证和税务登记证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  <w:lang w:eastAsia="zh-CN"/>
        </w:rPr>
        <w:t>；</w:t>
      </w:r>
    </w:p>
    <w:p w14:paraId="76C8C94D"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七、承考俱乐部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至少2名中国马术协会考评员证书、信息和</w:t>
      </w:r>
      <w:r>
        <w:rPr>
          <w:rFonts w:hint="eastAsia" w:ascii="仿宋" w:hAnsi="仿宋" w:eastAsia="仿宋"/>
          <w:sz w:val="30"/>
          <w:szCs w:val="30"/>
          <w:highlight w:val="none"/>
        </w:rPr>
        <w:t>合约关系证明文件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、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从业人员专业证书、俱乐部运营概况情况说明：俱乐部人员资历说明以及俱乐部运营情况说明。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3163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130D68CF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2C7D1F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yOGU5NjdhMzdmNDg2YmNiN2VjZDYzMDliNzQwZGQifQ=="/>
  </w:docVars>
  <w:rsids>
    <w:rsidRoot w:val="1B0E3BE8"/>
    <w:rsid w:val="00032A61"/>
    <w:rsid w:val="00054117"/>
    <w:rsid w:val="00064D2D"/>
    <w:rsid w:val="000C7F28"/>
    <w:rsid w:val="000E709D"/>
    <w:rsid w:val="000F0530"/>
    <w:rsid w:val="00117E55"/>
    <w:rsid w:val="001D33EE"/>
    <w:rsid w:val="001F70B5"/>
    <w:rsid w:val="00201815"/>
    <w:rsid w:val="0020258C"/>
    <w:rsid w:val="002171B5"/>
    <w:rsid w:val="00220D57"/>
    <w:rsid w:val="00236961"/>
    <w:rsid w:val="00260A0A"/>
    <w:rsid w:val="002A6357"/>
    <w:rsid w:val="002B6010"/>
    <w:rsid w:val="002C6510"/>
    <w:rsid w:val="002E1015"/>
    <w:rsid w:val="00306BA3"/>
    <w:rsid w:val="00306E5E"/>
    <w:rsid w:val="00336950"/>
    <w:rsid w:val="00345F0C"/>
    <w:rsid w:val="003708CC"/>
    <w:rsid w:val="00376261"/>
    <w:rsid w:val="003C57DC"/>
    <w:rsid w:val="003F61A1"/>
    <w:rsid w:val="00405848"/>
    <w:rsid w:val="00420C30"/>
    <w:rsid w:val="0046392C"/>
    <w:rsid w:val="0046461C"/>
    <w:rsid w:val="004939C5"/>
    <w:rsid w:val="0049462D"/>
    <w:rsid w:val="004D4A25"/>
    <w:rsid w:val="0053483D"/>
    <w:rsid w:val="00580CD3"/>
    <w:rsid w:val="00587039"/>
    <w:rsid w:val="005D4455"/>
    <w:rsid w:val="005D5199"/>
    <w:rsid w:val="005F10EA"/>
    <w:rsid w:val="00621F0B"/>
    <w:rsid w:val="00634D3F"/>
    <w:rsid w:val="0068396D"/>
    <w:rsid w:val="0069549E"/>
    <w:rsid w:val="0069677D"/>
    <w:rsid w:val="006B07B1"/>
    <w:rsid w:val="006E50C7"/>
    <w:rsid w:val="006F0AF6"/>
    <w:rsid w:val="00713D96"/>
    <w:rsid w:val="00743417"/>
    <w:rsid w:val="00751E36"/>
    <w:rsid w:val="00784A9D"/>
    <w:rsid w:val="007852B8"/>
    <w:rsid w:val="00796642"/>
    <w:rsid w:val="007E2810"/>
    <w:rsid w:val="008702B3"/>
    <w:rsid w:val="00886F97"/>
    <w:rsid w:val="008A4F1D"/>
    <w:rsid w:val="008E2820"/>
    <w:rsid w:val="00952F2C"/>
    <w:rsid w:val="00997252"/>
    <w:rsid w:val="009B797A"/>
    <w:rsid w:val="009F14CA"/>
    <w:rsid w:val="009F56CC"/>
    <w:rsid w:val="009F77C1"/>
    <w:rsid w:val="00A16454"/>
    <w:rsid w:val="00A363EA"/>
    <w:rsid w:val="00A42936"/>
    <w:rsid w:val="00A75998"/>
    <w:rsid w:val="00A91B24"/>
    <w:rsid w:val="00AE1804"/>
    <w:rsid w:val="00AE2878"/>
    <w:rsid w:val="00B04358"/>
    <w:rsid w:val="00B50D0F"/>
    <w:rsid w:val="00BD172D"/>
    <w:rsid w:val="00BE76C5"/>
    <w:rsid w:val="00BF7E6B"/>
    <w:rsid w:val="00C71835"/>
    <w:rsid w:val="00C83E05"/>
    <w:rsid w:val="00C90043"/>
    <w:rsid w:val="00CB5FAC"/>
    <w:rsid w:val="00CC5A63"/>
    <w:rsid w:val="00CE7748"/>
    <w:rsid w:val="00D503FA"/>
    <w:rsid w:val="00D6427C"/>
    <w:rsid w:val="00D729AF"/>
    <w:rsid w:val="00DA122C"/>
    <w:rsid w:val="00DD34E8"/>
    <w:rsid w:val="00DE3016"/>
    <w:rsid w:val="00DF3723"/>
    <w:rsid w:val="00E569FA"/>
    <w:rsid w:val="00EB5504"/>
    <w:rsid w:val="00F30C87"/>
    <w:rsid w:val="00F416C2"/>
    <w:rsid w:val="00F53FB8"/>
    <w:rsid w:val="00F6484B"/>
    <w:rsid w:val="00FA73B0"/>
    <w:rsid w:val="00FD4A1A"/>
    <w:rsid w:val="00FD7064"/>
    <w:rsid w:val="00FF22B8"/>
    <w:rsid w:val="03FD6957"/>
    <w:rsid w:val="04E24C29"/>
    <w:rsid w:val="0D8E0E8C"/>
    <w:rsid w:val="162318AA"/>
    <w:rsid w:val="1B0E3BE8"/>
    <w:rsid w:val="286F4B5F"/>
    <w:rsid w:val="371D3A84"/>
    <w:rsid w:val="39724DC2"/>
    <w:rsid w:val="3CB52DB1"/>
    <w:rsid w:val="4CB57181"/>
    <w:rsid w:val="5108418A"/>
    <w:rsid w:val="57CE51C8"/>
    <w:rsid w:val="5B6D355E"/>
    <w:rsid w:val="5BED63F2"/>
    <w:rsid w:val="66CC5D6B"/>
    <w:rsid w:val="68360210"/>
    <w:rsid w:val="69D10706"/>
    <w:rsid w:val="759A428A"/>
    <w:rsid w:val="79A332BF"/>
    <w:rsid w:val="7B49712E"/>
    <w:rsid w:val="7C3C08C9"/>
    <w:rsid w:val="7ECC28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nhideWhenUsed="0" w:uiPriority="0" w:semiHidden="0" w:name="List Bullet 2"/>
    <w:lsdException w:uiPriority="0" w:name="List Bullet 3"/>
    <w:lsdException w:uiPriority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kern w:val="0"/>
      <w:sz w:val="20"/>
      <w:szCs w:val="20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7F95B-E695-485F-8C2D-3E63188152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</Words>
  <Characters>518</Characters>
  <Lines>3</Lines>
  <Paragraphs>1</Paragraphs>
  <TotalTime>4</TotalTime>
  <ScaleCrop>false</ScaleCrop>
  <LinksUpToDate>false</LinksUpToDate>
  <CharactersWithSpaces>525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2019-01-21T09:45:00Z</dcterms:created>
  <dc:creator>FanHeng-PC</dc:creator>
  <cp:lastModifiedBy>胡蓉</cp:lastModifiedBy>
  <cp:lastPrinted>2024-11-14T02:32:16Z</cp:lastPrinted>
  <dcterms:modified xsi:type="dcterms:W3CDTF">2024-11-14T03:32:13Z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67F32348689E4AADA3CD85393DCDB7DF</vt:lpwstr>
  </property>
</Properties>
</file>