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601BD">
      <w:pPr>
        <w:pStyle w:val="3"/>
        <w:spacing w:line="480" w:lineRule="auto"/>
        <w:jc w:val="center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中国马术协会官网系统升级合作意向书</w:t>
      </w:r>
    </w:p>
    <w:p w14:paraId="48303BFF">
      <w:r>
        <w:t>填表说明：请意向单位如实填写以下内容，加盖公章后于</w:t>
      </w:r>
      <w:r>
        <w:rPr>
          <w:rFonts w:hint="eastAsia" w:ascii="宋体" w:hAnsi="宋体" w:eastAsia="宋体" w:cs="宋体"/>
        </w:rPr>
        <w:t>2026年4月20日</w:t>
      </w:r>
      <w:r>
        <w:t>前将扫描件及应征材料发送至指定邮箱（邮箱：</w:t>
      </w:r>
      <w:r>
        <w:rPr>
          <w:rFonts w:hint="default" w:ascii="Arial" w:hAnsi="Arial" w:cs="Arial"/>
        </w:rPr>
        <w:t>mi@c-e-a.org.cn</w:t>
      </w:r>
      <w:r>
        <w:t>；联系人：马佳玥；电话</w:t>
      </w:r>
      <w:r>
        <w:rPr>
          <w:rFonts w:hint="eastAsia" w:ascii="宋体" w:hAnsi="宋体" w:eastAsia="宋体" w:cs="宋体"/>
        </w:rPr>
        <w:t>：010-87181858</w:t>
      </w:r>
      <w:r>
        <w:t>）。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6803"/>
      </w:tblGrid>
      <w:tr w14:paraId="4F11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91A1539">
            <w:pPr>
              <w:spacing w:after="0"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00" w:type="dxa"/>
          </w:tcPr>
          <w:p w14:paraId="2519DDFA">
            <w:pPr>
              <w:spacing w:after="0"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项目分类及填写要求</w:t>
            </w:r>
          </w:p>
        </w:tc>
      </w:tr>
      <w:tr w14:paraId="2AA1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F8FC4F4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200" w:type="dxa"/>
          </w:tcPr>
          <w:p w14:paraId="04E76C67">
            <w:pPr>
              <w:spacing w:after="0" w:line="360" w:lineRule="auto"/>
            </w:pPr>
            <w:r>
              <w:t>意向单位基本信息</w:t>
            </w:r>
            <w:r>
              <w:br w:type="textWrapping"/>
            </w:r>
            <w:r>
              <w:t>单位名称：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      </w:t>
            </w:r>
            <w:r>
              <w:t>（需与营业执照一致）</w:t>
            </w:r>
            <w:r>
              <w:br w:type="textWrapping"/>
            </w:r>
            <w:r>
              <w:t>统一社会信用代码：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</w:t>
            </w:r>
            <w:r>
              <w:br w:type="textWrapping"/>
            </w:r>
            <w:r>
              <w:t>法定代表人：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   </w:t>
            </w:r>
            <w:r>
              <w:br w:type="textWrapping"/>
            </w:r>
            <w:r>
              <w:t>注册地址：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      </w:t>
            </w:r>
            <w:r>
              <w:br w:type="textWrapping"/>
            </w:r>
          </w:p>
          <w:p w14:paraId="70FFB403">
            <w:pPr>
              <w:spacing w:after="0" w:line="360" w:lineRule="auto"/>
              <w:rPr>
                <w:rFonts w:hint="eastAsia" w:eastAsia="宋体"/>
                <w:lang w:val="en-US" w:eastAsia="zh-CN"/>
              </w:rPr>
            </w:pPr>
            <w:r>
              <w:t>联系人：</w:t>
            </w:r>
            <w:r>
              <w:rPr>
                <w:rFonts w:hint="eastAsia" w:eastAsia="宋体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宋体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宋体"/>
                <w:u w:val="none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eastAsia="宋体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</w:t>
            </w: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  <w:p w14:paraId="7DF9BE14">
            <w:pPr>
              <w:spacing w:after="0" w:line="360" w:lineRule="auto"/>
              <w:rPr>
                <w:rFonts w:hint="eastAsia" w:eastAsia="宋体"/>
                <w:u w:val="single"/>
                <w:lang w:val="en-US" w:eastAsia="zh-CN"/>
              </w:rPr>
            </w:pPr>
            <w:r>
              <w:t>联系电话</w:t>
            </w:r>
            <w:r>
              <w:rPr>
                <w:rFonts w:hint="eastAsia" w:eastAsia="宋体"/>
                <w:lang w:eastAsia="zh-CN"/>
              </w:rPr>
              <w:t>：</w:t>
            </w:r>
            <w:r>
              <w:rPr>
                <w:rFonts w:hint="eastAsia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宋体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eastAsia="宋体"/>
                <w:u w:val="thick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eastAsia="宋体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</w:t>
            </w:r>
          </w:p>
          <w:p w14:paraId="0D424DF9">
            <w:pPr>
              <w:spacing w:after="0" w:line="360" w:lineRule="auto"/>
            </w:pPr>
            <w:r>
              <w:t>电子邮箱：</w:t>
            </w:r>
            <w:r>
              <w:br w:type="textWrapping"/>
            </w:r>
            <w:r>
              <w:t>公司简介：含成立时间、主营业务、核心优势（限</w:t>
            </w:r>
            <w:r>
              <w:rPr>
                <w:rFonts w:hint="eastAsia" w:ascii="宋体" w:hAnsi="宋体" w:eastAsia="宋体" w:cs="宋体"/>
              </w:rPr>
              <w:t>200</w:t>
            </w:r>
            <w:r>
              <w:t>字）</w:t>
            </w:r>
          </w:p>
          <w:p w14:paraId="7978F590">
            <w:pPr>
              <w:spacing w:after="0" w:line="240" w:lineRule="auto"/>
            </w:pPr>
          </w:p>
          <w:p w14:paraId="5A3A4769">
            <w:pPr>
              <w:spacing w:after="0" w:line="240" w:lineRule="auto"/>
            </w:pPr>
          </w:p>
        </w:tc>
      </w:tr>
      <w:tr w14:paraId="589D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A76861B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200" w:type="dxa"/>
          </w:tcPr>
          <w:p w14:paraId="177518CC">
            <w:pPr>
              <w:spacing w:after="0" w:line="360" w:lineRule="auto"/>
            </w:pPr>
            <w:r>
              <w:t>合作意向声明</w:t>
            </w:r>
            <w:r>
              <w:br w:type="textWrapping"/>
            </w:r>
            <w:r>
              <w:t>本单位自愿参与中国马术协会官网系统升级合作招选，认同"公开、公平、公正"原则，承诺遵守通知要求提交材料、配合后续评审流程，若获选将严格履行合同义务。</w:t>
            </w:r>
          </w:p>
          <w:p w14:paraId="289B1C7E">
            <w:pPr>
              <w:spacing w:after="0" w:line="360" w:lineRule="auto"/>
            </w:pPr>
          </w:p>
          <w:p w14:paraId="5B6B8D54">
            <w:pPr>
              <w:spacing w:after="0" w:line="360" w:lineRule="auto"/>
            </w:pPr>
          </w:p>
          <w:p w14:paraId="240DFABE">
            <w:pPr>
              <w:spacing w:after="0" w:line="360" w:lineRule="auto"/>
            </w:pPr>
          </w:p>
          <w:p w14:paraId="1DE2AFCB">
            <w:pPr>
              <w:spacing w:after="0" w:line="360" w:lineRule="auto"/>
            </w:pPr>
            <w:bookmarkStart w:id="0" w:name="_GoBack"/>
            <w:bookmarkEnd w:id="0"/>
            <w:r>
              <w:br w:type="textWrapping"/>
            </w:r>
            <w:r>
              <w:t>（需在此处填写声明内容并加盖单位公章）</w:t>
            </w:r>
          </w:p>
        </w:tc>
      </w:tr>
      <w:tr w14:paraId="6246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DF708B5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200" w:type="dxa"/>
          </w:tcPr>
          <w:p w14:paraId="31BC17C1">
            <w:pPr>
              <w:spacing w:after="0" w:line="360" w:lineRule="auto"/>
            </w:pPr>
            <w:r>
              <w:t>资质与能力响应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t>）基本资质（需勾选并提供证明）：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具有独立法人资格及相关经营资质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具备软件企业认定证书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具备高新技术企业证书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其他资质：</w:t>
            </w:r>
            <w:r>
              <w:rPr>
                <w:rFonts w:hint="eastAsia" w:eastAsia="宋体"/>
                <w:lang w:val="en-US" w:eastAsia="zh-CN"/>
              </w:rPr>
              <w:t xml:space="preserve">         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t>）技术能力（需勾选）：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网站系统开发与集成能力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完善的网络安全防护体系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大数据处理与分析能力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移动端适配开发经验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3</w:t>
            </w:r>
            <w:r>
              <w:t>）团队配置（需勾选）：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拥有全职软件开发工程师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配备专职网络安全管理员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具有专业</w:t>
            </w:r>
            <w:r>
              <w:rPr>
                <w:rFonts w:hint="default" w:ascii="Arial" w:hAnsi="Arial" w:cs="Arial"/>
              </w:rPr>
              <w:t>UI/UX</w:t>
            </w:r>
            <w:r>
              <w:t>设计师团队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具备符合等保要求的全过程安全管理与运维服务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4</w:t>
            </w:r>
            <w:r>
              <w:t>）经验要求（需勾选）：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具有政府机构/行业协会网站建设经验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拥有大型网站系统开发与运维成功案例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具备数据库系统设计与开发经验</w:t>
            </w:r>
          </w:p>
        </w:tc>
      </w:tr>
      <w:tr w14:paraId="434C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41BB7C6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200" w:type="dxa"/>
          </w:tcPr>
          <w:p w14:paraId="0DBF83E8">
            <w:pPr>
              <w:spacing w:after="0" w:line="360" w:lineRule="auto"/>
            </w:pPr>
            <w:r>
              <w:t>服务内容响应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t>）网站设计制作：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界面设计兼具专业品质感与访问便捷性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采用响应式设计支持多终端访问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优化用户交互体验提升服务满意度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t>）系统升级方向：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适应二级等保整改要求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开发站内业务信息查询功能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搭建基于人才/考级业务数据库的查询服务系统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部署实时在线客服系统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3</w:t>
            </w:r>
            <w:r>
              <w:t>）专业数据库建设：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建立行业专业人才数据库（骑师、教练员、裁判员等）及查询功能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搭建人马运动等级资料库（基于运动等级评定信息库）</w:t>
            </w:r>
            <w:r>
              <w:br w:type="textWrapping"/>
            </w:r>
            <w:r>
              <w:t>（</w:t>
            </w:r>
            <w:r>
              <w:rPr>
                <w:rFonts w:hint="eastAsia" w:ascii="宋体" w:hAnsi="宋体" w:eastAsia="宋体" w:cs="宋体"/>
              </w:rPr>
              <w:t>4</w:t>
            </w:r>
            <w:r>
              <w:t>）安全与运维保障：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建立完善网络安全防护体系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实现数据备份与灾难恢复机制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提供</w:t>
            </w:r>
            <w:r>
              <w:rPr>
                <w:rFonts w:hint="eastAsia" w:ascii="宋体" w:hAnsi="宋体" w:eastAsia="宋体" w:cs="宋体"/>
              </w:rPr>
              <w:t>7×24</w:t>
            </w:r>
            <w:r>
              <w:t>小时运维保障服务</w:t>
            </w:r>
          </w:p>
        </w:tc>
      </w:tr>
      <w:tr w14:paraId="31E5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690ADC1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200" w:type="dxa"/>
          </w:tcPr>
          <w:p w14:paraId="7DD2C804">
            <w:pPr>
              <w:spacing w:after="0" w:line="360" w:lineRule="auto"/>
            </w:pPr>
            <w:r>
              <w:t>应征材料提交情况</w:t>
            </w:r>
            <w:r>
              <w:br w:type="textWrapping"/>
            </w:r>
            <w:r>
              <w:t>请勾选已准备的材料：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（一）公司营业执照及相关资质证明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（二）团队构成及技术人员证明材料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（三）近三年类似项目业绩证明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（四）网站升级改版设计方案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（五）项目实施方案及时间计划</w:t>
            </w:r>
            <w:r>
              <w:br w:type="textWrapping"/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（六）服务报价及运维保障方案</w:t>
            </w:r>
          </w:p>
        </w:tc>
      </w:tr>
      <w:tr w14:paraId="1760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160" w:type="dxa"/>
          </w:tcPr>
          <w:p w14:paraId="5F5B7FC5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200" w:type="dxa"/>
          </w:tcPr>
          <w:p w14:paraId="69D836F3">
            <w:pPr>
              <w:spacing w:after="0" w:line="360" w:lineRule="auto"/>
            </w:pPr>
            <w:r>
              <w:t>其他说明</w:t>
            </w:r>
            <w:r>
              <w:br w:type="textWrapping"/>
            </w:r>
            <w:r>
              <w:t>初步项目时间计划（如需求调研、开发、测试、上线阶段的时间安排）：</w:t>
            </w:r>
          </w:p>
          <w:p w14:paraId="45E10E83">
            <w:pPr>
              <w:spacing w:after="0" w:line="360" w:lineRule="auto"/>
            </w:pPr>
          </w:p>
          <w:p w14:paraId="326BB8F6">
            <w:pPr>
              <w:spacing w:after="0" w:line="360" w:lineRule="auto"/>
            </w:pPr>
            <w:r>
              <w:br w:type="textWrapping"/>
            </w:r>
            <w:r>
              <w:t>需协会配合的事项（如提供现有系统资料、业务需求对接等）：</w:t>
            </w:r>
          </w:p>
          <w:p w14:paraId="2607F187">
            <w:pPr>
              <w:spacing w:after="0" w:line="360" w:lineRule="auto"/>
            </w:pPr>
          </w:p>
        </w:tc>
      </w:tr>
      <w:tr w14:paraId="5624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7CDD616">
            <w:pPr>
              <w:spacing w:after="0"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200" w:type="dxa"/>
          </w:tcPr>
          <w:p w14:paraId="6D93B15A">
            <w:pPr>
              <w:spacing w:after="0" w:line="360" w:lineRule="auto"/>
            </w:pPr>
            <w:r>
              <w:t>承诺与签字</w:t>
            </w:r>
            <w:r>
              <w:br w:type="textWrapping"/>
            </w:r>
            <w:r>
              <w:t>本单位承诺：所提交材料真实、准确、完整，无虚假信息。</w:t>
            </w:r>
          </w:p>
          <w:p w14:paraId="2CCECA5C">
            <w:pPr>
              <w:spacing w:after="0" w:line="360" w:lineRule="auto"/>
            </w:pPr>
          </w:p>
          <w:p w14:paraId="7C815740">
            <w:pPr>
              <w:spacing w:after="0" w:line="360" w:lineRule="auto"/>
            </w:pPr>
            <w:r>
              <w:t>法定代表人签字：</w:t>
            </w:r>
            <w:r>
              <w:br w:type="textWrapping"/>
            </w:r>
          </w:p>
          <w:p w14:paraId="55B552D0">
            <w:pPr>
              <w:spacing w:after="0" w:line="360" w:lineRule="auto"/>
            </w:pPr>
            <w:r>
              <w:t>单位公章：</w:t>
            </w:r>
            <w:r>
              <w:br w:type="textWrapping"/>
            </w:r>
          </w:p>
          <w:p w14:paraId="0F62372C">
            <w:pPr>
              <w:spacing w:after="0" w:line="360" w:lineRule="auto"/>
            </w:pPr>
            <w:r>
              <w:t>日期：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</w:t>
            </w:r>
            <w:r>
              <w:t>年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</w:t>
            </w:r>
            <w:r>
              <w:t>日</w:t>
            </w:r>
          </w:p>
        </w:tc>
      </w:tr>
    </w:tbl>
    <w:p w14:paraId="4E332E9B">
      <w:r>
        <w:br w:type="textWrapping"/>
      </w:r>
      <w:r>
        <w:t>备注：</w:t>
      </w:r>
    </w:p>
    <w:p w14:paraId="2ABAB9E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本意向书需与应征材料一并提交，材料格式要求为PDF扫描件（加盖公章）；</w:t>
      </w:r>
    </w:p>
    <w:p w14:paraId="5C1F2BB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协会初审通过后，将邀请提交详细技术方案；</w:t>
      </w:r>
    </w:p>
    <w:p w14:paraId="04F82EC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本通知最终解释权归中国马术协会所有（2026年4月10日发布）。</w:t>
      </w:r>
    </w:p>
    <w:p w14:paraId="5C8239B8">
      <w:pPr>
        <w:rPr>
          <w:rFonts w:hint="eastAsia" w:ascii="宋体" w:hAnsi="宋体" w:eastAsia="宋体" w:cs="宋体"/>
        </w:rPr>
      </w:pPr>
      <w:r>
        <w:br w:type="textWrapping"/>
      </w:r>
      <w:r>
        <w:rPr>
          <w:rFonts w:hint="eastAsia" w:ascii="宋体" w:hAnsi="宋体" w:eastAsia="宋体" w:cs="宋体"/>
        </w:rPr>
        <w:t>中国马术协会媒体信息部</w:t>
      </w:r>
    </w:p>
    <w:p w14:paraId="6C025C1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地址：北京市东城区天坛东路74号5层</w:t>
      </w:r>
    </w:p>
    <w:p w14:paraId="00427AB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邮箱：mi@c-e-a.org.cn</w:t>
      </w:r>
    </w:p>
    <w:p w14:paraId="099228E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电话：010-87181858</w:t>
      </w:r>
    </w:p>
    <w:p w14:paraId="19FB44E7"/>
    <w:p w14:paraId="5914C7BF">
      <w:pPr>
        <w:jc w:val="right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J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6653CF0"/>
    <w:rsid w:val="3B4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JP" w:hAnsi="Noto Sans CJK JP" w:eastAsia="Noto Sans CJK JP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1237</Words>
  <Characters>1579</Characters>
  <Lines>0</Lines>
  <Paragraphs>0</Paragraphs>
  <TotalTime>2</TotalTime>
  <ScaleCrop>false</ScaleCrop>
  <LinksUpToDate>false</LinksUpToDate>
  <CharactersWithSpaces>1628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WPS_majy</cp:lastModifiedBy>
  <dcterms:modified xsi:type="dcterms:W3CDTF">2026-04-11T16:43:44Z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{"Label":"1","ContentProducer":"001191440300708461136T1IVWN","ProduceID":"79883d11ac9312ba9012c8afac655fed-57gkg3pbye3kf2if5skwaucthm3nqvqei2ig5wvt","ReservedCode1":"{\"Type\":\" TC260PG\",\"Version\":1,\"Bindings\":[{\"Type\":\"soft\",\"AlgID\":\"sm3\",\"Value\":\"bf4c05197c8d999ab2008815781532cdad9bbfa01b8d99b0cc1e160ed1163ba3\"},{\"Type\":\"hash\",\"AlgID\":\"sm3\",\"Value\":\"02bd5205321046eff566cb477720f405003fe682d76cb4a3f0560966949c9b7c\"}],\"PubSD\":[{\"Type\":\"DS\",\"AlgID\":\"sm2\",\"TBSData\":{\"Type\":\"Binding\",\"BType\":\"hash\"},\"Signature\":\"304502204eceddcad7f3c3061a49274b1418148ce18a6ff33e01088f69b798b8e60f0071022100ff187b5b9924bcf46e0fbd03c8e00cc4cf01078eecb40779b02141bdd4575403\"},{\"Type\":\"PubKey\",\"AlgID\":\"sm2\",\"KeyValue\":\"0407f79b28a17a752b3aae4305c98b48978213832729a2571850b1310b2bc9fe8fee039ccf25ebfeac27502414d9fcef792d777183c98893d226171c2f7a3289a2\"}],\"Extension\":{\"Timestamp\":1775924288,\"KeyVersion\":\"v1-Owd2uMESYLo311\"}}","ContentPropagator":"001191440300708461136T1IVWN","PropagateID":"79883d11ac9312ba9012c8afac655fed-57gkg3pbye3kf2if5skwaucthm3nqvqei2ig5wvt","ReservedCode2":"{\"Type\":\" TC260PG\",\"Version\":1,\"Bindings\":[{\"Type\":\"soft\",\"AlgID\":\"sm3\",\"Value\":\"bf4c05197c8d999ab2008815781532cdad9bbfa01b8d99b0cc1e160ed1163ba3\"},{\"Type\":\"hash\",\"AlgID\":\"sm3\",\"Value\":\"02bd5205321046eff566cb477720f405003fe682d76cb4a3f0560966949c9b7c\"}],\"PubSD\":[{\"Type\":\"DS\",\"AlgID\":\"sm2\",\"TBSData\":{\"Type\":\"Binding\",\"BType\":\"hash\"},\"Signature\":\"3044022057931698a99b71cb0685d6d8cd84dd51b4431aace0ca58bc6e4323dfc22945bf0220122ebc342ab1cb10663becfce326de28034c8876aaf68a19fed646f4ed2bf365\"},{\"Type\":\"PubKey\",\"AlgID\":\"sm2\",\"KeyValue\":\"0407f79b28a17a752b3aae4305c98b48978213832729a2571850b1310b2bc9fe8fee039ccf25ebfeac27502414d9fcef792d777183c98893d226171c2f7a3289a2\"}],\"Extension\":{\"Timestamp\":1775924288,\"KeyVersion\":\"v1-Owd2uMESYLo311\"}}"}</vt:lpwstr>
  </property>
  <property fmtid="{D5CDD505-2E9C-101B-9397-08002B2CF9AE}" pid="3" name="KSOTemplateDocerSaveRecord">
    <vt:lpwstr>eyJoZGlkIjoiMzRiNjhlZjFjMGQ4ZWZlNWQwYzYwMzU2YmNmMzExMWUiLCJ1c2VySWQiOiIxMTc4MDE3NTIwIn0=</vt:lpwstr>
  </property>
  <property fmtid="{D5CDD505-2E9C-101B-9397-08002B2CF9AE}" pid="4" name="KSOProductBuildVer">
    <vt:lpwstr>2052-12.1.0.24657</vt:lpwstr>
  </property>
  <property fmtid="{D5CDD505-2E9C-101B-9397-08002B2CF9AE}" pid="5" name="ICV">
    <vt:lpwstr>832AEDDDAD024FA28229A9D2AE8FD0F7_12</vt:lpwstr>
  </property>
</Properties>
</file>